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渔业船舶检验社会化服务项目(二次)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CGXM-2025-350101-01296[2025]01123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[350101]CZX[CS]2025001-1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福州市海洋与渔业执法支队</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福建晨至信招标代理有限公司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福州市海洋与渔业执法支队</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渔业船舶检验社会化服务项目(二次)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福建晨至信招标代理有限公司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渔业船舶检验社会化服务项目(二次)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CGXM-2025-350101-01296[2025]01123</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[350101]CZX[CS]2025001-1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渔业船舶检验2</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渔业船舶检验2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渔业船舶检验2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渔业船舶检验2</w:t>
            </w:r>
          </w:p>
        </w:tc>
        <w:tc>
          <w:tcPr>
            <w:tcW w:type="dxa" w:w="2076"/>
          </w:tcPr>
          <w:p>
            <w:pPr>
              <w:pStyle w:val="null3"/>
              <w:jc w:val="left"/>
            </w:pPr>
            <w:r>
              <w:rPr>
                <w:rFonts w:ascii="仿宋_GB2312" w:hAnsi="仿宋_GB2312" w:cs="仿宋_GB2312" w:eastAsia="仿宋_GB2312"/>
              </w:rPr>
              <w:t>渔业船舶检验2</w:t>
            </w:r>
          </w:p>
        </w:tc>
        <w:tc>
          <w:tcPr>
            <w:tcW w:type="dxa" w:w="415"/>
          </w:tcPr>
          <w:p>
            <w:pPr>
              <w:pStyle w:val="null3"/>
              <w:jc w:val="left"/>
            </w:pPr>
            <w:r>
              <w:rPr>
                <w:rFonts w:ascii="仿宋_GB2312" w:hAnsi="仿宋_GB2312" w:cs="仿宋_GB2312" w:eastAsia="仿宋_GB2312"/>
              </w:rPr>
              <w:t>艘次</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政府采购进口产品管理办法（财库〔2007〕119号）、关于政府采购进口产品管理有关问题的通知（财办库〔2008〕248号）、《福建省财政厅关于进一步做好政府采购进口产品审核工作的通知》（闽财购〔2021〕6号）。</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发展改革委生态环境部市场监管总局印发《关于调整优化节能产品、环境标志产品政府采购执行机制的通知》(财库〔2019〕9号)和《关于印发节能产品政府采购品目清单的通知》(财库〔2019〕19号)。</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财政部发展改革委生态环境部市场监管总局印发《关于调整优化节能产品、环境标志产品政府采购执行机制的通知》(财库〔2019〕9号)和《关于印发环境标志产品政府采购品目清单的通知》（财库〔2019〕18号）。</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关于供应商提供资格承诺函的特别提示</w:t>
            </w:r>
          </w:p>
        </w:tc>
        <w:tc>
          <w:tcPr>
            <w:tcW w:type="dxa" w:w="4614"/>
          </w:tcPr>
          <w:p>
            <w:pPr>
              <w:pStyle w:val="null3"/>
              <w:jc w:val="left"/>
            </w:pPr>
            <w:r>
              <w:rPr>
                <w:rFonts w:ascii="仿宋_GB2312" w:hAnsi="仿宋_GB2312" w:cs="仿宋_GB2312" w:eastAsia="仿宋_GB2312"/>
              </w:rPr>
              <w:t>供应商在投标（响应）时，按照投标(响应)格式文件规定提供资格承诺函的，无需再提交“营业执照等证明文件、财务状况报告（财务报告或资信证明）、缴纳税收证明材料、缴纳社会保障资金证明材料、具备履行合同所必需设备和专业技术能力的声明函、参加政府采购活动前3年内在经营活动中没有重大违法记录的书面声明”。供应商未提供承诺的部分则须按采购文件规定提供相应材料；未按要求提供的，视为资格审查不合格。</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福州市海洋与渔业执法支队</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福州市仓山区南江滨西大道193号东部办公区5号楼4层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13859093380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福建晨至信招标代理有限公司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福州市鼓楼区福马路45号闽古屋4号楼3层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陈韦楠、鄢曼君、缪雨芳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0591-83308367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福建晨至信招标代理有限公司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关于供应商提供资格承诺函的特别提示</w:t>
                  </w:r>
                </w:p>
              </w:tc>
              <w:tc>
                <w:tcPr>
                  <w:tcW w:type="dxa" w:w="1418"/>
                </w:tcPr>
                <w:p>
                  <w:pPr>
                    <w:pStyle w:val="null3"/>
                    <w:jc w:val="left"/>
                  </w:pPr>
                  <w:r>
                    <w:rPr>
                      <w:rFonts w:ascii="仿宋_GB2312" w:hAnsi="仿宋_GB2312" w:cs="仿宋_GB2312" w:eastAsia="仿宋_GB2312"/>
                    </w:rPr>
                    <w:t>供应商在投标（响应）时，按照投标(响应)格式文件规定提供资格承诺函的，无需再提交“营业执照等证明文件、财务状况报告（财务报告或资信证明）、缴纳税收证明材料、缴纳社会保障资金证明材料、具备履行合同所必需设备和专业技术能力的声明函、参加政府采购活动前3年内在经营活动中没有重大违法记录的书面声明”。供应商未提供承诺的部分则须按采购文件规定提供相应材料；未按要求提供的，视为资格审查不合格。</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（1）磋商小组将按照规定对各供应商的响应文件采用相同的程序和标准进行评价和比较，将按照提交首次响应文件时间的先后顺序(或者逆顺序)邀请通过资格及符合性审查的合格供应商进行磋商。 (2)所有合格的供应商均可登入系统进行报价。（3）磋商小组确定成交候选人时的报价以最后报价为准。</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代理服务费收费标准：本项目政府采购委托协议中“有关费用问题”的约定，本项目的招标代理服务费(成交服务费)向成交人收取，成交人按差额定率累进法计算，向采购代理机构一次性缴纳成交服务费。 (1)以磋商文件规定的预算金额作为收费的计算基数。 (2)招标代理服务收费的标准：100（含）万元以下收费费率标准: 1.5%。以下为招标代理服务费缴交银行账号： 开户名：福建晨至信招标代理有限公司 开户行：招商银行福州分行营业部 账号：591905045810601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成交人应自结果公告发布之日起5个工作日内向代理机构缴交代理服务费，若未在前述期限内足额付款，代理机构有权通过诉讼程序追索款项及违约金，由此产生的律师费、诉讼费、差旅费等为实现债权所支出的费用均由成交人承担。</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自成交通知书发出之日起30个日历日内。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一、关于磋商文件的质疑的补充说明： 1.供应商须在法定质疑期内一次性提出针对同一采购程序环节的质疑。 2.供应商须按照“中国政府采购网--下载专区--政府采购供应商质疑函范本”填写并以现场递交的形式递交完整的书面质疑书及相关佐证材料并加盖公章，否则将按磋商文件相关规定的办法处理。 二、电子化招标项目有下列情形之一的，视为串通投标，其报价无效，保证金不予退还： （一）保证金核验阶段 不同供应商的响应保证金转出账户的银行账户名称相同的。 （二）电子响应文件解密阶段 电子响应文件的个性特征与本采购项目的其他供应商存在雷同的，按照以下方式进行认定： 1.供应商上传电子响应文件被福建省政府采购网上公开信息系统投标客户端所赋予的项目内部识别码与本招标项目的其他供应商相同的。 2.系统记录的编制电子响应文件使用的计算机或上传电子响应文件使用的计算机网卡 MAC 地址与本招标项目的其他供应商一致的。 3.供应商上传的电子响应文件若出现使用本项目其他供应商的数字证书加密的或加盖本项目的其他供应商的电子印章的。 三、针对“ 财务状况报告（财务报告或资信证明或投标担保函）”的补充说明：鉴于目前开户银行许可证已停止发放，供应商选择提供资信证明的，还应提供供应商开户许可证或基本账户信息证明。 四、供应商在福建省政府采购网上公开信息系统注册报名时应录入供应商单位中文全称，不应使用简称、字母、符号等，否则可能出现电子响应无法进行或核验保证金未能通过等情形，从而导致报价失败等后果均由供应商自行承担。 五、供应商在报价会现场用于解密的CA证书必须与制作该项目电子响应文件时所用CA证书为同一个CA证书，否则导致无法解密等后果均由供应商自行承担。 六、关于“单位负责人签字或盖章”的补充：在电子响应文件中，涉及“单位负责人签字或盖章”的内容可使用打字录入方式完成。 七、通过远程参与磋商流程的供应商须在开标大厅界面等待系统远程解密开启并在代理机构规定时间内完成解密操作及二次报价。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政府采购促进中小企业发展管理办法》（财库〔2020〕46号）、《关于进一步加大政府采购支持中小企业力度的通知》（财库〔2022〕19号）、《福建省财政厅关于进一步加大政府采购支持中小企业力度的通知》（闽财规〔2022〕13号）价格扣除：根据《关于印发&lt;政府采购促进中小企业发展管理办法&gt;的通知》（财库〔2020〕46号）文件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根据《关于进一步加大政府采购支持中小企业力度的通知》（财库〔2022〕19号）、《福建省财政厅关于进一步加大政府采购支持中小企业力度的通知》（闽财规〔2022〕13号）等文件规定，本项目将对符合本办法规定的小微企业报价给予15%（工程项目为5%）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6%（工程项目为2%）的扣除，用扣除后的价格参加评审。中小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工程项目为5%）的评审价格扣除优惠。（3）根据《财政部 民政部 中国残疾人联合会关于促进残疾人就业政府采购政策的通知》（财库〔2017〕141号）规定，符合规定的残疾人福利性单位参加政府采购活动视同小型、微型企业，提供《残疾人福利性单位声明函》并对声明的真实性负责，其报价享受15%（工程项目为5%）的评审价格扣除优惠。对残疾人福利性单位与其他组织组成联合体参与政府采购活动的，残疾人福利性单位的协议合同金额占总合同金额30%以上的，给予联合体合同金额6%（工程项目为2%）的价格扣除。残疾人福利性单位属于小型、微型企业的，不重复享受政策，按残疾人福利性单位价格扣除标准执行。残疾人福利性单位参与货物项目的，须在响应文件中写明具体哪些货物是由本单位制造，或者由其他残疾人福利性单位制造（不包括使用非残疾人福利性单位注册商标的货物），并对其进行标注。 注：1、本采购包为服务类采购项目，采购标的对应的中小企业划分标准所属行业为其他未列明行业。2、依据本办法规定享受扶持政策获得政府采购合同的，小微企业不得将合同分包给大中型企业，中型企业不得将合同分包给大型企业。3、供应商提供声明函内容不实的或提供虚假证明文件的，均属于提供虚假材料谋取中标、成交，一经发现将依照《中华人民共和国政府采购法》等国家有关规定追究相应责任。</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本项目的理解情况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根据供应商对本项目的理解情况（包括但不限于工作目的及工作内容的理解情况、重难点分析）进行打分。（1）方案完全满足（能够具体、完整列明方式，内容描述完整包括以上全部要点）得5分；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r>
        <w:tc>
          <w:tcPr>
            <w:tcW w:type="dxa" w:w="3322"/>
          </w:tcPr>
          <w:p>
            <w:pPr>
              <w:pStyle w:val="null3"/>
              <w:jc w:val="left"/>
            </w:pPr>
            <w:r>
              <w:rPr>
                <w:rFonts w:ascii="仿宋_GB2312" w:hAnsi="仿宋_GB2312" w:cs="仿宋_GB2312" w:eastAsia="仿宋_GB2312"/>
              </w:rPr>
              <w:t>调研情况</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福州市辖区渔船技术状况的调研情况（包括但不限于渔船技术状况的现状、现状渔船技术状况的分析）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r>
        <w:tc>
          <w:tcPr>
            <w:tcW w:type="dxa" w:w="3322"/>
          </w:tcPr>
          <w:p>
            <w:pPr>
              <w:pStyle w:val="null3"/>
              <w:jc w:val="left"/>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根据供应商拟派本项目的项目负责人在满足磋商文件要求的基础上进行评分：（1）持有船舶相关专业高级（含）以上职称的得4分；（2）持有船舶相关专业中级职称的得2分。 注：须同时提供职称证书扫描件和提交首次响应文件截止时间止前六个月任意一个月（不含提交首次响应文件截止当月）由供应商为其社保缴纳证明并加盖供应商公章，不提供或提供不全的不得分。</w:t>
            </w:r>
          </w:p>
        </w:tc>
      </w:tr>
      <w:tr>
        <w:tc>
          <w:tcPr>
            <w:tcW w:type="dxa" w:w="3322"/>
          </w:tcPr>
          <w:p>
            <w:pPr>
              <w:pStyle w:val="null3"/>
              <w:jc w:val="left"/>
            </w:pPr>
            <w:r>
              <w:rPr>
                <w:rFonts w:ascii="仿宋_GB2312" w:hAnsi="仿宋_GB2312" w:cs="仿宋_GB2312" w:eastAsia="仿宋_GB2312"/>
              </w:rPr>
              <w:t>船体验船师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根据供应商拟派从事本项目现场检验的船体验船师在满足磋商文件要求的基础上进行评分：从事与本项目类似的船体检验或修造监理业务5年（含）以上的，每提供一名得1分；满分3分。 注：须同时提供船体验船师从事船体检验或修造监理工作资历的证明文件和提交首次响应文件截止时间止前六个月任意一个月（不含提交首次响应文件截止当月）由供应商为其社保缴纳证明并加盖供应商公章，不提供或提供不全的不得分。</w:t>
            </w:r>
          </w:p>
        </w:tc>
      </w:tr>
      <w:tr>
        <w:tc>
          <w:tcPr>
            <w:tcW w:type="dxa" w:w="3322"/>
          </w:tcPr>
          <w:p>
            <w:pPr>
              <w:pStyle w:val="null3"/>
              <w:jc w:val="left"/>
            </w:pPr>
            <w:r>
              <w:rPr>
                <w:rFonts w:ascii="仿宋_GB2312" w:hAnsi="仿宋_GB2312" w:cs="仿宋_GB2312" w:eastAsia="仿宋_GB2312"/>
              </w:rPr>
              <w:t>轮机验船师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根据供应商拟派从事本项目现场检验的轮机验船师在满足磋商文件要求的基础上进行评分：从事与本项目类似的轮机检验或修造监理业务5年（含）以上的，每提供一名得3分；满分3分。 注：须同时提供轮机验船师从事船体检验或修造监理工作资历的证明文件和提交首次响应文件截止时间止前六个月任意一个月（不含提交首次响应文件截止当月）由供应商为其社保缴纳证明并加盖供应商公章，不提供或提供不全的不得分。</w:t>
            </w:r>
          </w:p>
        </w:tc>
      </w:tr>
      <w:tr>
        <w:tc>
          <w:tcPr>
            <w:tcW w:type="dxa" w:w="3322"/>
          </w:tcPr>
          <w:p>
            <w:pPr>
              <w:pStyle w:val="null3"/>
              <w:jc w:val="left"/>
            </w:pPr>
            <w:r>
              <w:rPr>
                <w:rFonts w:ascii="仿宋_GB2312" w:hAnsi="仿宋_GB2312" w:cs="仿宋_GB2312" w:eastAsia="仿宋_GB2312"/>
              </w:rPr>
              <w:t>电气验船师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电气验船师在满足磋商文件要求的基础上进行评分：具备船舶电气相关专业全日制本科且从事与本项目类似的船舶电气检验或修造监理业务3年（含）以上的，每提供一名得3分；满分3分。 注：须同时提供电气验船师的毕业证书、从事船体检验或修造监理工作资历的证明文件和提交首次响应文件截止时间止前六个月任意一个月（不含提交首次响应文件截止当月）由供应商为其社保缴纳证明并加盖供应商公章，不提供或提供不全的不得分。</w:t>
            </w:r>
          </w:p>
        </w:tc>
      </w:tr>
      <w:tr>
        <w:tc>
          <w:tcPr>
            <w:tcW w:type="dxa" w:w="3322"/>
          </w:tcPr>
          <w:p>
            <w:pPr>
              <w:pStyle w:val="null3"/>
              <w:jc w:val="left"/>
            </w:pPr>
            <w:r>
              <w:rPr>
                <w:rFonts w:ascii="仿宋_GB2312" w:hAnsi="仿宋_GB2312" w:cs="仿宋_GB2312" w:eastAsia="仿宋_GB2312"/>
              </w:rPr>
              <w:t>船体验船师业绩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船体验船师：供应商自2022年1月1日以来（以中标通知书签发日期或合同签订时间为准），每个从事本项目现场检验的船体验船师每承接过1个与本项目类似的船体现场检验业务相关的工作项目，得1分。本项满分3分。 （须同时提供项目合同（或中标通知书）及授权承担该项目现场检验工作的证明文件扫描件、或已签发、签署的船舶检验报告扫描件并加盖供应商公章，不提供或提供不全的不得分）</w:t>
            </w:r>
          </w:p>
        </w:tc>
      </w:tr>
      <w:tr>
        <w:tc>
          <w:tcPr>
            <w:tcW w:type="dxa" w:w="3322"/>
          </w:tcPr>
          <w:p>
            <w:pPr>
              <w:pStyle w:val="null3"/>
              <w:jc w:val="left"/>
            </w:pPr>
            <w:r>
              <w:rPr>
                <w:rFonts w:ascii="仿宋_GB2312" w:hAnsi="仿宋_GB2312" w:cs="仿宋_GB2312" w:eastAsia="仿宋_GB2312"/>
              </w:rPr>
              <w:t>轮机验船师业绩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根据供应商拟派从事本项目现场检验的轮机验船师： 供应商自2022年1月1日以来（以中标通知书签发日期或合同签订时间为准），每个从事本项目现场检验的轮机验船师每承接过1个与本项目类似的轮机现场检验业务相关的工作项目，得1分。本项满分3分 （须同时提供项目合同（或中标通知书）及授权承担该项目现场检验工作的证明文件扫描件、或已签发、签署的船舶检验报告扫描件并加盖供应商公章，不提供或提供不全的不得分）</w:t>
            </w:r>
          </w:p>
        </w:tc>
      </w:tr>
      <w:tr>
        <w:tc>
          <w:tcPr>
            <w:tcW w:type="dxa" w:w="3322"/>
          </w:tcPr>
          <w:p>
            <w:pPr>
              <w:pStyle w:val="null3"/>
              <w:jc w:val="left"/>
            </w:pPr>
            <w:r>
              <w:rPr>
                <w:rFonts w:ascii="仿宋_GB2312" w:hAnsi="仿宋_GB2312" w:cs="仿宋_GB2312" w:eastAsia="仿宋_GB2312"/>
              </w:rPr>
              <w:t>电气验船师业绩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根据供应商拟派从事本项目现场检验的电气验船师： 供应商自2022年1月1日以来（以中标通知书签发日期或合同签订时间为准），每个从事本项目现场检验的电气验船师每承接过1个与本项目类似的电气现场检验业务相关的工作项目，得1分。本项满分3分。 （须同时提供项目合同（或中标通知书）及授权承担该项目现场检验工作的证明文件扫描件、或已签发、签署的船舶检验报告扫描件并加盖供应商公章，不提供的不得分）</w:t>
            </w:r>
          </w:p>
        </w:tc>
      </w:tr>
      <w:tr>
        <w:tc>
          <w:tcPr>
            <w:tcW w:type="dxa" w:w="3322"/>
          </w:tcPr>
          <w:p>
            <w:pPr>
              <w:pStyle w:val="null3"/>
              <w:jc w:val="left"/>
            </w:pPr>
            <w:r>
              <w:rPr>
                <w:rFonts w:ascii="仿宋_GB2312" w:hAnsi="仿宋_GB2312" w:cs="仿宋_GB2312" w:eastAsia="仿宋_GB2312"/>
              </w:rPr>
              <w:t>仪器设备配置情况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供应商在满足磋商文件要求具备3套相关检验检测设备基础上，增加一套磋商文件要求的相关检验检测设备的得3分。（须在响应文件中列出所有详细的设备数量、品牌型号及用途，未提供的不得分）</w:t>
            </w:r>
          </w:p>
        </w:tc>
      </w:tr>
      <w:tr>
        <w:tc>
          <w:tcPr>
            <w:tcW w:type="dxa" w:w="3322"/>
          </w:tcPr>
          <w:p>
            <w:pPr>
              <w:pStyle w:val="null3"/>
              <w:jc w:val="left"/>
            </w:pPr>
            <w:r>
              <w:rPr>
                <w:rFonts w:ascii="仿宋_GB2312" w:hAnsi="仿宋_GB2312" w:cs="仿宋_GB2312" w:eastAsia="仿宋_GB2312"/>
              </w:rPr>
              <w:t>服务方案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根据供应商对本项目提供的服务方案（包括但不限于人员规模及安排、服务响应时间、工作方案）进行打分。（1）方案完全满足（能够具体、完整列明方式，内容描述完整包括以上全部要点）得5分；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r>
        <w:tc>
          <w:tcPr>
            <w:tcW w:type="dxa" w:w="3322"/>
          </w:tcPr>
          <w:p>
            <w:pPr>
              <w:pStyle w:val="null3"/>
              <w:jc w:val="left"/>
            </w:pPr>
            <w:r>
              <w:rPr>
                <w:rFonts w:ascii="仿宋_GB2312" w:hAnsi="仿宋_GB2312" w:cs="仿宋_GB2312" w:eastAsia="仿宋_GB2312"/>
              </w:rPr>
              <w:t>服务能力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提供的数字化管理服务能力情况进行评分，能够提供数字化信息系统进行服务管理及适时进行数据传送的得5分；否则不得分。（须提供数字化相关的业务管理系统或软件介绍，加盖供应商公章，否则不得分）</w:t>
            </w:r>
          </w:p>
        </w:tc>
      </w:tr>
      <w:tr>
        <w:tc>
          <w:tcPr>
            <w:tcW w:type="dxa" w:w="3322"/>
          </w:tcPr>
          <w:p>
            <w:pPr>
              <w:pStyle w:val="null3"/>
              <w:jc w:val="left"/>
            </w:pPr>
            <w:r>
              <w:rPr>
                <w:rFonts w:ascii="仿宋_GB2312" w:hAnsi="仿宋_GB2312" w:cs="仿宋_GB2312" w:eastAsia="仿宋_GB2312"/>
              </w:rPr>
              <w:t>质量管理方案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提供的质量管理方案（包括但不限于质量管理制度、质量管理目标、具体管理措施、学习培训计划、档案管理、保密管理）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r>
        <w:tc>
          <w:tcPr>
            <w:tcW w:type="dxa" w:w="3322"/>
          </w:tcPr>
          <w:p>
            <w:pPr>
              <w:pStyle w:val="null3"/>
              <w:jc w:val="left"/>
            </w:pPr>
            <w:r>
              <w:rPr>
                <w:rFonts w:ascii="仿宋_GB2312" w:hAnsi="仿宋_GB2312" w:cs="仿宋_GB2312" w:eastAsia="仿宋_GB2312"/>
              </w:rPr>
              <w:t>业务流程</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提供的业务流程方案（应当包含业务的受理与现场检验任务的下达、现场检验任务的实施、检验报告的编制提交、报告的审核存档、检验资料的交接与归档）及各个环节的办结承诺时限进行打分。提供上述应当包含的业务流程内容且各个环节的办结承诺时限优于磋商文件《第三章 采购内容及要求》中“二、技术要求”要求的服务时限的得5分。未按要求提供方案或办结承诺时限未优于磋商文件《第三章 采购内容及要求》中“二、技术要求”要求的服务时限或未提供方案的不得分。</w:t>
            </w:r>
          </w:p>
        </w:tc>
      </w:tr>
      <w:tr>
        <w:tc>
          <w:tcPr>
            <w:tcW w:type="dxa" w:w="3322"/>
          </w:tcPr>
          <w:p>
            <w:pPr>
              <w:pStyle w:val="null3"/>
              <w:jc w:val="left"/>
            </w:pPr>
            <w:r>
              <w:rPr>
                <w:rFonts w:ascii="仿宋_GB2312" w:hAnsi="仿宋_GB2312" w:cs="仿宋_GB2312" w:eastAsia="仿宋_GB2312"/>
              </w:rPr>
              <w:t>现场检验质量管理</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提供的现场检验质量自查制度（包括但不限于制度内容、现场检验质量自查流程、检验遗留项目整改、内部相关管理检验质量自查制度）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r>
        <w:tc>
          <w:tcPr>
            <w:tcW w:type="dxa" w:w="3322"/>
          </w:tcPr>
          <w:p>
            <w:pPr>
              <w:pStyle w:val="null3"/>
              <w:jc w:val="left"/>
            </w:pPr>
            <w:r>
              <w:rPr>
                <w:rFonts w:ascii="仿宋_GB2312" w:hAnsi="仿宋_GB2312" w:cs="仿宋_GB2312" w:eastAsia="仿宋_GB2312"/>
              </w:rPr>
              <w:t>综合管理</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本项目提供的质量综合管理制度（包括但不限于制定工作人员廉洁自律行为规范、投诉举报处置、满意度调查、安全保障等相关制度）进行打分。（1）方案完全满足（能够具体、完整列明方式，内容描述完整包括以上全部要点）得5分； （2）方案大部分满足（完整列明方式但不够具体，或内容描述完整包含以上全部要点但内容简略未展开阐述）的得4.75分； （3）方案小部分满足（未具体、完整列明方式，或内容描述未完整包括以上全部要点）的得4.5分； （4）未提供方案或不满足（即不符合上述“完全满足”、“大部分满足”、“小部分满足”情形的；或有明显错误）的本项不得分。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办公条件</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根据供应商承诺在签订合同后15日内完成在福州市的固定办公场所场地建设并投入使用及办公设备配置情况进行打分： （1）具备独立的档案室（设置有恒温除湿设备），且设有项目负责人办公室、验船师办公室、服务对象等待区、会议室，配备电脑8台（含）以上并备有彩色、黑白打印机以及装订机、复印机等办公设备，得5分。 （2）具备独立的档案室（设置有恒温除湿设备），且设有项目负责人办公室、验船师办公室、服务对象等待区（或会议室），配备电脑8台（含）以上并备有彩色、黑白打印机以及装订机、复印机等办公设备，得3分。 （3）具备独立的档案室（设置有恒温除湿设备），且设有项目负责人办公室、验船师办公室，配备电脑8台（含）以上并备有彩色、黑白打印机以及装订机、复印机等办公设备，得1分。 注：供应商须提供承诺函（承诺函格式自拟）加盖供应商公章，不提供或提供不完整的不得分。</w:t>
            </w:r>
          </w:p>
        </w:tc>
      </w:tr>
      <w:tr>
        <w:tc>
          <w:tcPr>
            <w:tcW w:type="dxa" w:w="3322"/>
          </w:tcPr>
          <w:p>
            <w:pPr>
              <w:pStyle w:val="null3"/>
              <w:jc w:val="left"/>
            </w:pPr>
            <w:r>
              <w:rPr>
                <w:rFonts w:ascii="仿宋_GB2312" w:hAnsi="仿宋_GB2312" w:cs="仿宋_GB2312" w:eastAsia="仿宋_GB2312"/>
              </w:rPr>
              <w:t>业务能力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从事与船舶现场检验业务相关工作实践（船舶检验或修造监理）情况进行评分。（1）从事过10个（含）以上相关工作经验的得5分；（2）从事过5-9个相关工作经验的得3分；（3）从事过1-4个相关工作经验的得1分；须提供供应商从事的相关工作的合同复印件，加盖供应商公章，不提供的不得分。</w:t>
            </w:r>
          </w:p>
        </w:tc>
      </w:tr>
      <w:tr>
        <w:tc>
          <w:tcPr>
            <w:tcW w:type="dxa" w:w="3322"/>
          </w:tcPr>
          <w:p>
            <w:pPr>
              <w:pStyle w:val="null3"/>
              <w:jc w:val="left"/>
            </w:pPr>
            <w:r>
              <w:rPr>
                <w:rFonts w:ascii="仿宋_GB2312" w:hAnsi="仿宋_GB2312" w:cs="仿宋_GB2312" w:eastAsia="仿宋_GB2312"/>
              </w:rPr>
              <w:t>应急保障人员</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为本项目配备的应急保障人员（除参与本项目人员之外）情况进行评分，每提供一名具有船舶相关专业中级技术职称（含）以上的人员或持有B级（含）以上注册验船师或中级（含）以上适任制验船师证书的人员得1分，满分5分。须同时提供相应证书复印件及提交首次响应文件截止时间止前6个月任意一个月（不含提交首次响应文件截止当月）的由供应商为其社保缴纳证明（70周岁（含）以下退休的专业人员须提供劳务合同），加盖供应商公章，不提供的不得分。相关资质证书原件备查。</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违反磋商文件中载明“响应无效”条款的规定。</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标注“★”符号的技术要求有任一项负偏离的，按无效报价处理。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 采购内容及要求”中商务条件出现负偏离的。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 采购内容及要求”中其他商务要求出现负偏离的。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不满足竞争性磋商文件规定的报价要求。</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本项目为福州市海洋与渔业执法支队的渔业船舶检验社会化服务项目（二次）。</w:t>
      </w:r>
      <w:r>
        <w:rPr>
          <w:rFonts w:ascii="仿宋_GB2312" w:hAnsi="仿宋_GB2312" w:cs="仿宋_GB2312" w:eastAsia="仿宋_GB2312"/>
          <w:sz w:val="24"/>
        </w:rPr>
        <w:t>响应人应根据磋商文件所提出的产品服务要求，选择具有最佳性价比的服务前来竞价。希望响应人以优质的服务和优惠的价格，充分显示贵公司的实力。</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范围：福州市所辖的部分国内海洋渔业船舶。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内容：开展船长</w:t>
      </w:r>
      <w:r>
        <w:rPr>
          <w:rFonts w:ascii="仿宋_GB2312" w:hAnsi="仿宋_GB2312" w:cs="仿宋_GB2312" w:eastAsia="仿宋_GB2312"/>
          <w:sz w:val="24"/>
        </w:rPr>
        <w:t>12米（含）以上(或主机功率在44.1kw（含）以上)渔业船舶营运检验的现场检验环节。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服务船舶数量（仅为预估数量，具体数量以实际检验为准）：</w:t>
      </w:r>
      <w:r>
        <w:rPr>
          <w:rFonts w:ascii="仿宋_GB2312" w:hAnsi="仿宋_GB2312" w:cs="仿宋_GB2312" w:eastAsia="仿宋_GB2312"/>
          <w:sz w:val="24"/>
        </w:rPr>
        <w:t>100艘</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4、本项目的成交人与渔业船舶检验社会化服务项目（项目编号：[350101]CZX[CS]2025001）</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成交人互为复检单位（即采购人或服务对象对其中一个项目的成交供应商的检验结果有异议，由采购人联合另一个项目的成交供应商进行复核检验），若其中一个项目的成交人无法履行渔业船舶检验服务，在采购人未完成重新采购前，则由另一个项目的成交人协助采购人完成该检验服务。</w:t>
      </w:r>
    </w:p>
    <w:p>
      <w:pPr>
        <w:pStyle w:val="null3"/>
        <w:ind w:firstLine="480"/>
        <w:jc w:val="both"/>
      </w:pPr>
      <w:r>
        <w:rPr>
          <w:rFonts w:ascii="仿宋_GB2312" w:hAnsi="仿宋_GB2312" w:cs="仿宋_GB2312" w:eastAsia="仿宋_GB2312"/>
          <w:sz w:val="24"/>
        </w:rPr>
        <w:t>注：本竞争性磋商文件中不允许负偏离的实质性要求均以</w:t>
      </w:r>
      <w:r>
        <w:rPr>
          <w:rFonts w:ascii="仿宋_GB2312" w:hAnsi="仿宋_GB2312" w:cs="仿宋_GB2312" w:eastAsia="仿宋_GB2312"/>
          <w:sz w:val="24"/>
        </w:rPr>
        <w:t>“★”标示其内容。</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★（一）供应商基本要求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及其工作人员应与渔业船舶设计、检修检测、修造及营运、船配供应等业务及海洋渔业执法机构无隶属关系或利害关系。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如为船舶修造监理机构的，应在承接</w:t>
      </w:r>
      <w:r>
        <w:rPr>
          <w:rFonts w:ascii="仿宋_GB2312" w:hAnsi="仿宋_GB2312" w:cs="仿宋_GB2312" w:eastAsia="仿宋_GB2312"/>
          <w:sz w:val="24"/>
        </w:rPr>
        <w:t>本项目</w:t>
      </w:r>
      <w:r>
        <w:rPr>
          <w:rFonts w:ascii="仿宋_GB2312" w:hAnsi="仿宋_GB2312" w:cs="仿宋_GB2312" w:eastAsia="仿宋_GB2312"/>
          <w:sz w:val="24"/>
        </w:rPr>
        <w:t>工作期间，不得承接</w:t>
      </w:r>
      <w:r>
        <w:rPr>
          <w:rFonts w:ascii="仿宋_GB2312" w:hAnsi="仿宋_GB2312" w:cs="仿宋_GB2312" w:eastAsia="仿宋_GB2312"/>
          <w:sz w:val="24"/>
        </w:rPr>
        <w:t>福州市</w:t>
      </w:r>
      <w:r>
        <w:rPr>
          <w:rFonts w:ascii="仿宋_GB2312" w:hAnsi="仿宋_GB2312" w:cs="仿宋_GB2312" w:eastAsia="仿宋_GB2312"/>
          <w:sz w:val="24"/>
        </w:rPr>
        <w:t>所辖的渔业船舶修造监理及检修检测业务。</w:t>
      </w:r>
    </w:p>
    <w:p>
      <w:pPr>
        <w:pStyle w:val="null3"/>
        <w:ind w:firstLine="480"/>
        <w:jc w:val="left"/>
      </w:pPr>
      <w:r>
        <w:rPr>
          <w:rFonts w:ascii="仿宋_GB2312" w:hAnsi="仿宋_GB2312" w:cs="仿宋_GB2312" w:eastAsia="仿宋_GB2312"/>
          <w:sz w:val="24"/>
        </w:rPr>
        <w:t>3、供应商配备工作人员数量应与承担的渔业船舶检验工作量相匹配，确保有足够的现场检验力量，及时开展现场检验工作；供应商执行检验时，每艘渔业船舶至少配备1名具有船体检验经验和1名具有机电检验经验的现场检验人员（以下简称“验船师”）承担现场检验工作；</w:t>
      </w:r>
    </w:p>
    <w:p>
      <w:pPr>
        <w:pStyle w:val="null3"/>
        <w:ind w:firstLine="1920"/>
        <w:jc w:val="left"/>
      </w:pPr>
      <w:r>
        <w:rPr>
          <w:rFonts w:ascii="仿宋_GB2312" w:hAnsi="仿宋_GB2312" w:cs="仿宋_GB2312" w:eastAsia="仿宋_GB2312"/>
          <w:sz w:val="24"/>
        </w:rPr>
        <w:t>配备的总人数至少应当满足下表要求：</w:t>
      </w:r>
    </w:p>
    <w:tbl>
      <w:tblPr>
        <w:tblW w:w="0" w:type="auto"/>
        <w:tblBorders>
          <w:top w:val="none" w:color="000000" w:sz="4"/>
          <w:left w:val="none" w:color="000000" w:sz="4"/>
          <w:bottom w:val="none" w:color="000000" w:sz="4"/>
          <w:right w:val="none" w:color="000000" w:sz="4"/>
          <w:insideH w:val="none"/>
          <w:insideV w:val="none"/>
        </w:tblBorders>
      </w:tblPr>
      <w:tblGrid>
        <w:gridCol w:w="1626"/>
        <w:gridCol w:w="1375"/>
        <w:gridCol w:w="2489"/>
        <w:gridCol w:w="2816"/>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总人数</w:t>
            </w:r>
            <w:r>
              <w:rPr>
                <w:rFonts w:ascii="仿宋_GB2312" w:hAnsi="仿宋_GB2312" w:cs="仿宋_GB2312" w:eastAsia="仿宋_GB2312"/>
                <w:sz w:val="24"/>
              </w:rPr>
              <w:t>8人</w:t>
            </w:r>
          </w:p>
        </w:tc>
      </w:tr>
      <w:tr>
        <w:tc>
          <w:tcPr>
            <w:tcW w:type="dxa" w:w="1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项目负责人</w:t>
            </w:r>
          </w:p>
        </w:tc>
        <w:tc>
          <w:tcPr>
            <w:tcW w:type="dxa" w:w="13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管理人员</w:t>
            </w:r>
          </w:p>
        </w:tc>
        <w:tc>
          <w:tcPr>
            <w:tcW w:type="dxa" w:w="530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验船师</w:t>
            </w:r>
          </w:p>
        </w:tc>
      </w:tr>
      <w:tr>
        <w:tc>
          <w:tcPr>
            <w:tcW w:type="dxa" w:w="1626"/>
            <w:vMerge/>
            <w:tcBorders>
              <w:top w:val="none" w:color="000000" w:sz="4"/>
              <w:left w:val="single" w:color="000000" w:sz="4"/>
              <w:bottom w:val="single" w:color="000000" w:sz="4"/>
              <w:right w:val="single" w:color="000000" w:sz="4"/>
            </w:tcBorders>
          </w:tcPr>
          <w:p/>
        </w:tc>
        <w:tc>
          <w:tcPr>
            <w:tcW w:type="dxa" w:w="1375"/>
            <w:vMerge/>
            <w:tcBorders>
              <w:top w:val="single" w:color="000000" w:sz="4"/>
              <w:left w:val="single" w:color="000000" w:sz="4"/>
              <w:bottom w:val="single" w:color="000000" w:sz="4"/>
              <w:right w:val="single" w:color="000000" w:sz="4"/>
            </w:tcBorders>
          </w:tcPr>
          <w:p/>
        </w:tc>
        <w:tc>
          <w:tcPr>
            <w:tcW w:type="dxa" w:w="2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船体检验经验</w:t>
            </w:r>
          </w:p>
        </w:tc>
        <w:tc>
          <w:tcPr>
            <w:tcW w:type="dxa" w:w="2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机电检验经验（含轮机、电气）</w:t>
            </w:r>
          </w:p>
        </w:tc>
      </w:tr>
      <w:tr>
        <w:tc>
          <w:tcPr>
            <w:tcW w:type="dxa" w:w="1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1名</w:t>
            </w:r>
          </w:p>
        </w:tc>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1名</w:t>
            </w:r>
          </w:p>
        </w:tc>
        <w:tc>
          <w:tcPr>
            <w:tcW w:type="dxa" w:w="2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3名</w:t>
            </w:r>
          </w:p>
        </w:tc>
        <w:tc>
          <w:tcPr>
            <w:tcW w:type="dxa" w:w="2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3名</w:t>
            </w:r>
          </w:p>
        </w:tc>
      </w:tr>
    </w:tbl>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1）项目负责人应持有B级（含）以上注册验船师或</w:t>
      </w:r>
      <w:r>
        <w:rPr>
          <w:rFonts w:ascii="仿宋_GB2312" w:hAnsi="仿宋_GB2312" w:cs="仿宋_GB2312" w:eastAsia="仿宋_GB2312"/>
          <w:sz w:val="24"/>
        </w:rPr>
        <w:t>交通运输</w:t>
      </w:r>
      <w:r>
        <w:rPr>
          <w:rFonts w:ascii="仿宋_GB2312" w:hAnsi="仿宋_GB2312" w:cs="仿宋_GB2312" w:eastAsia="仿宋_GB2312"/>
          <w:sz w:val="24"/>
        </w:rPr>
        <w:t>部海事局授予的中级（含）以上适任制验船师证书，且从事船舶设计、制造、监理、检验等工作满</w:t>
      </w:r>
      <w:r>
        <w:rPr>
          <w:rFonts w:ascii="仿宋_GB2312" w:hAnsi="仿宋_GB2312" w:cs="仿宋_GB2312" w:eastAsia="仿宋_GB2312"/>
          <w:sz w:val="24"/>
        </w:rPr>
        <w:t>5年；</w:t>
      </w:r>
      <w:r>
        <w:rPr>
          <w:rFonts w:ascii="仿宋_GB2312" w:hAnsi="仿宋_GB2312" w:cs="仿宋_GB2312" w:eastAsia="仿宋_GB2312"/>
          <w:sz w:val="24"/>
          <w:b/>
        </w:rPr>
        <w:t>须提供注册验船师或适任制验船师证书复印件。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2）管理人员应熟悉所在单位的管理体系、现场检验流程以及相关的法规、规范和技术标准。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供应商拟派的验船师（船体检验、机电检验）应具有船体检验或修造监理的工作经验且应持有</w:t>
      </w:r>
      <w:r>
        <w:rPr>
          <w:rFonts w:ascii="仿宋_GB2312" w:hAnsi="仿宋_GB2312" w:cs="仿宋_GB2312" w:eastAsia="仿宋_GB2312"/>
          <w:sz w:val="24"/>
        </w:rPr>
        <w:t>B级（含）以上注册验船师或交通运输部海事局授予的中级（含）以上适任制</w:t>
      </w:r>
      <w:r>
        <w:rPr>
          <w:rFonts w:ascii="仿宋_GB2312" w:hAnsi="仿宋_GB2312" w:cs="仿宋_GB2312" w:eastAsia="仿宋_GB2312"/>
          <w:sz w:val="24"/>
        </w:rPr>
        <w:t>验船师证书，</w:t>
      </w:r>
      <w:r>
        <w:rPr>
          <w:rFonts w:ascii="仿宋_GB2312" w:hAnsi="仿宋_GB2312" w:cs="仿宋_GB2312" w:eastAsia="仿宋_GB2312"/>
          <w:sz w:val="24"/>
          <w:b/>
        </w:rPr>
        <w:t>须提供注册验船师或适任制验船师证书复印件。</w:t>
      </w:r>
      <w:r>
        <w:rPr>
          <w:rFonts w:ascii="仿宋_GB2312" w:hAnsi="仿宋_GB2312" w:cs="仿宋_GB2312" w:eastAsia="仿宋_GB2312"/>
          <w:sz w:val="24"/>
        </w:rPr>
        <w:t>其中机电检验（电气）验</w:t>
      </w:r>
      <w:r>
        <w:rPr>
          <w:rFonts w:ascii="仿宋_GB2312" w:hAnsi="仿宋_GB2312" w:cs="仿宋_GB2312" w:eastAsia="仿宋_GB2312"/>
          <w:sz w:val="24"/>
        </w:rPr>
        <w:t>船师须具备大专学历。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）供应商需配备应急保障人员应对集中性检验，应急保障人员年龄不得超过</w:t>
      </w:r>
      <w:r>
        <w:rPr>
          <w:rFonts w:ascii="仿宋_GB2312" w:hAnsi="仿宋_GB2312" w:cs="仿宋_GB2312" w:eastAsia="仿宋_GB2312"/>
          <w:sz w:val="24"/>
        </w:rPr>
        <w:t>70周岁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应有相对固定办公场所，其中应设有档案室、资料室等配套设施，以及配备开展与工作相适应的《规则》、《规范》、《规程》、船舶标准等资料以及电脑、打印机</w:t>
      </w:r>
      <w:r>
        <w:rPr>
          <w:rFonts w:ascii="仿宋_GB2312" w:hAnsi="仿宋_GB2312" w:cs="仿宋_GB2312" w:eastAsia="仿宋_GB2312"/>
          <w:sz w:val="24"/>
        </w:rPr>
        <w:t>以及至少应配备</w:t>
      </w:r>
      <w:r>
        <w:rPr>
          <w:rFonts w:ascii="仿宋_GB2312" w:hAnsi="仿宋_GB2312" w:cs="仿宋_GB2312" w:eastAsia="仿宋_GB2312"/>
          <w:sz w:val="24"/>
        </w:rPr>
        <w:t>3套相关检测设备（每套均应至少包括测厚、测距、测电、测温、转速表、检验锤、焊接检验尺设备）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应建立健全相</w:t>
      </w:r>
      <w:r>
        <w:rPr>
          <w:rFonts w:ascii="仿宋_GB2312" w:hAnsi="仿宋_GB2312" w:cs="仿宋_GB2312" w:eastAsia="仿宋_GB2312"/>
          <w:sz w:val="24"/>
        </w:rPr>
        <w:t>应的内控管理机制</w:t>
      </w:r>
      <w:r>
        <w:rPr>
          <w:rFonts w:ascii="仿宋_GB2312" w:hAnsi="仿宋_GB2312" w:cs="仿宋_GB2312" w:eastAsia="仿宋_GB2312"/>
          <w:sz w:val="24"/>
        </w:rPr>
        <w:t>,</w:t>
      </w:r>
      <w:r>
        <w:rPr>
          <w:rFonts w:ascii="仿宋_GB2312" w:hAnsi="仿宋_GB2312" w:cs="仿宋_GB2312" w:eastAsia="仿宋_GB2312"/>
          <w:sz w:val="24"/>
        </w:rPr>
        <w:t>且具备数字化管理的服务能力。</w:t>
      </w:r>
    </w:p>
    <w:p>
      <w:pPr>
        <w:pStyle w:val="null3"/>
        <w:ind w:firstLine="480"/>
        <w:jc w:val="left"/>
      </w:pPr>
      <w:r>
        <w:rPr>
          <w:rFonts w:ascii="仿宋_GB2312" w:hAnsi="仿宋_GB2312" w:cs="仿宋_GB2312" w:eastAsia="仿宋_GB2312"/>
          <w:sz w:val="24"/>
        </w:rPr>
        <w:t>6、本项目按实结算，</w:t>
      </w:r>
      <w:r>
        <w:rPr>
          <w:rFonts w:ascii="仿宋_GB2312" w:hAnsi="仿宋_GB2312" w:cs="仿宋_GB2312" w:eastAsia="仿宋_GB2312"/>
          <w:sz w:val="24"/>
        </w:rPr>
        <w:t>供应商须提供</w:t>
      </w:r>
      <w:r>
        <w:rPr>
          <w:rFonts w:ascii="仿宋_GB2312" w:hAnsi="仿宋_GB2312" w:cs="仿宋_GB2312" w:eastAsia="仿宋_GB2312"/>
          <w:sz w:val="24"/>
        </w:rPr>
        <w:t>船舶检验</w:t>
      </w:r>
      <w:r>
        <w:rPr>
          <w:rFonts w:ascii="仿宋_GB2312" w:hAnsi="仿宋_GB2312" w:cs="仿宋_GB2312" w:eastAsia="仿宋_GB2312"/>
          <w:sz w:val="24"/>
        </w:rPr>
        <w:t>的单价报价</w:t>
      </w:r>
      <w:r>
        <w:rPr>
          <w:rFonts w:ascii="仿宋_GB2312" w:hAnsi="仿宋_GB2312" w:cs="仿宋_GB2312" w:eastAsia="仿宋_GB2312"/>
          <w:sz w:val="24"/>
        </w:rPr>
        <w:t>。供应商在电子后台填写的报价</w:t>
      </w:r>
      <w:r>
        <w:rPr>
          <w:rFonts w:ascii="仿宋_GB2312" w:hAnsi="仿宋_GB2312" w:cs="仿宋_GB2312" w:eastAsia="仿宋_GB2312"/>
          <w:sz w:val="24"/>
        </w:rPr>
        <w:t>总</w:t>
      </w:r>
      <w:r>
        <w:rPr>
          <w:rFonts w:ascii="仿宋_GB2312" w:hAnsi="仿宋_GB2312" w:cs="仿宋_GB2312" w:eastAsia="仿宋_GB2312"/>
          <w:sz w:val="24"/>
        </w:rPr>
        <w:t>金额仅作为价格分的评审依据。报价应包含所有人员的人工费、差旅费、伙食费、办公设施费、管理费、利润、税金、合同包含的所有风险责任等各项费用及不可预见费用等所需的全部费用等。每艘船舶检验的预算最高限价为</w:t>
      </w:r>
      <w:r>
        <w:rPr>
          <w:rFonts w:ascii="仿宋_GB2312" w:hAnsi="仿宋_GB2312" w:cs="仿宋_GB2312" w:eastAsia="仿宋_GB2312"/>
          <w:sz w:val="24"/>
        </w:rPr>
        <w:t>2000元/艘次，结算价=成交</w:t>
      </w:r>
      <w:r>
        <w:rPr>
          <w:rFonts w:ascii="仿宋_GB2312" w:hAnsi="仿宋_GB2312" w:cs="仿宋_GB2312" w:eastAsia="仿宋_GB2312"/>
          <w:sz w:val="24"/>
        </w:rPr>
        <w:t>单价</w:t>
      </w:r>
      <w:r>
        <w:rPr>
          <w:rFonts w:ascii="仿宋_GB2312" w:hAnsi="仿宋_GB2312" w:cs="仿宋_GB2312" w:eastAsia="仿宋_GB2312"/>
          <w:sz w:val="24"/>
        </w:rPr>
        <w:t>×艘次</w:t>
      </w:r>
      <w:r>
        <w:rPr>
          <w:rFonts w:ascii="仿宋_GB2312" w:hAnsi="仿宋_GB2312" w:cs="仿宋_GB2312" w:eastAsia="仿宋_GB2312"/>
          <w:sz w:val="24"/>
        </w:rPr>
        <w:t>数量</w:t>
      </w:r>
      <w:r>
        <w:rPr>
          <w:rFonts w:ascii="仿宋_GB2312" w:hAnsi="仿宋_GB2312" w:cs="仿宋_GB2312" w:eastAsia="仿宋_GB2312"/>
          <w:sz w:val="24"/>
        </w:rPr>
        <w:t>，因成交供应商原因导致重新检验，费用由成交供应商自行承担。若在服务期内结算价已达本项目预算金额，则采购合同自动终止。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（二）服务要求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b/>
        </w:rPr>
        <w:t>业务的受理与现场检验任务的下达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1）采购人相应的直属大队的检验窗口负责受理渔业船舶营运检验申报业务，并及时向成交供应商下达书面现场检验任务；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2）成交供应商接到现场检验任务后，应在24小时内，按要求对每艘渔业船舶的现场检验任务指派至少1名具有船体检验经验和1名具有机电检验经验的验船师负责实施现场检验；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3）验船师收到指派任务后，应在24小时内联系船舶所有人或委托代理人，告知检验准备事项，约定现场检验时间、地点及其他有关事项；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4）验船师应在船舶所有人提供待检船舶2个工作日内，登临实船开展现场检验任务。</w:t>
      </w:r>
    </w:p>
    <w:p>
      <w:pPr>
        <w:pStyle w:val="null3"/>
        <w:ind w:firstLine="482"/>
        <w:jc w:val="both"/>
      </w:pPr>
      <w:r>
        <w:rPr>
          <w:rFonts w:ascii="仿宋_GB2312" w:hAnsi="仿宋_GB2312" w:cs="仿宋_GB2312" w:eastAsia="仿宋_GB2312"/>
          <w:sz w:val="24"/>
          <w:b/>
        </w:rPr>
        <w:t>2、现场检验任务的实施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验船师应严格按照法定检验规则、规程、船舶标准等要求实施现场检验，并审查其他第三方机构提交的各类设备的检修检测报告，对审查结果负责。同时要现场指导船长、船东做好渔业船舶安全技术状况维护或渔业船舶适航性能的维持等各项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现场检验过程中发现的隐患，能现场整改到位的应要求船长或船东进行现场整改；不能现场整改的遗留项目，应出具《渔业船舶检验遗留问题清单》，并负责督促船东在一个月期限内落实整改，及时形成闭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3）在规定的期限内未完成遗留项目整改的，验船师应编制《关于</w:t>
      </w:r>
      <w:r>
        <w:rPr>
          <w:rFonts w:ascii="仿宋_GB2312" w:hAnsi="仿宋_GB2312" w:cs="仿宋_GB2312" w:eastAsia="仿宋_GB2312"/>
          <w:sz w:val="24"/>
          <w:u w:val="single"/>
        </w:rPr>
        <w:t>（船名号）</w:t>
      </w:r>
      <w:r>
        <w:rPr>
          <w:rFonts w:ascii="仿宋_GB2312" w:hAnsi="仿宋_GB2312" w:cs="仿宋_GB2312" w:eastAsia="仿宋_GB2312"/>
          <w:sz w:val="24"/>
        </w:rPr>
        <w:t>本次检验不合格的报告》并报项目负责人审查，经项目负责人审查、签署并加盖成交供应商公章后，及时将</w:t>
      </w:r>
      <w:r>
        <w:rPr>
          <w:rFonts w:ascii="仿宋_GB2312" w:hAnsi="仿宋_GB2312" w:cs="仿宋_GB2312" w:eastAsia="仿宋_GB2312"/>
          <w:sz w:val="24"/>
        </w:rPr>
        <w:t>PDF电子版本《关于</w:t>
      </w:r>
      <w:r>
        <w:rPr>
          <w:rFonts w:ascii="仿宋_GB2312" w:hAnsi="仿宋_GB2312" w:cs="仿宋_GB2312" w:eastAsia="仿宋_GB2312"/>
          <w:sz w:val="24"/>
          <w:u w:val="single"/>
        </w:rPr>
        <w:t>（船名号）</w:t>
      </w:r>
      <w:r>
        <w:rPr>
          <w:rFonts w:ascii="仿宋_GB2312" w:hAnsi="仿宋_GB2312" w:cs="仿宋_GB2312" w:eastAsia="仿宋_GB2312"/>
          <w:sz w:val="24"/>
        </w:rPr>
        <w:t>本次检验不合格的报告》发送至采购人相应的直属大队审核，并确保发送的</w:t>
      </w:r>
      <w:r>
        <w:rPr>
          <w:rFonts w:ascii="仿宋_GB2312" w:hAnsi="仿宋_GB2312" w:cs="仿宋_GB2312" w:eastAsia="仿宋_GB2312"/>
          <w:sz w:val="24"/>
        </w:rPr>
        <w:t>PDF电子版报告与后续送达的存档纸质版报告的一致性，如因发送的PDF电子版报告与送达的存档纸质版报告不一致而造成后果的，成交供应商应承担相关责任；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4）采购人相应的直属大队在收到《关于</w:t>
      </w:r>
      <w:r>
        <w:rPr>
          <w:rFonts w:ascii="仿宋_GB2312" w:hAnsi="仿宋_GB2312" w:cs="仿宋_GB2312" w:eastAsia="仿宋_GB2312"/>
          <w:sz w:val="24"/>
          <w:u w:val="single"/>
        </w:rPr>
        <w:t>（船名号）</w:t>
      </w:r>
      <w:r>
        <w:rPr>
          <w:rFonts w:ascii="仿宋_GB2312" w:hAnsi="仿宋_GB2312" w:cs="仿宋_GB2312" w:eastAsia="仿宋_GB2312"/>
          <w:sz w:val="24"/>
        </w:rPr>
        <w:t>本次检验不合格的报告》后，按采购人《关于加强渔船安全监督管理的通知》（榕海渔执【</w:t>
      </w:r>
      <w:r>
        <w:rPr>
          <w:rFonts w:ascii="仿宋_GB2312" w:hAnsi="仿宋_GB2312" w:cs="仿宋_GB2312" w:eastAsia="仿宋_GB2312"/>
          <w:sz w:val="24"/>
        </w:rPr>
        <w:t>2019】69号）要求进行处置。</w:t>
      </w:r>
    </w:p>
    <w:p>
      <w:pPr>
        <w:pStyle w:val="null3"/>
        <w:ind w:firstLine="482"/>
        <w:jc w:val="both"/>
      </w:pPr>
      <w:r>
        <w:rPr>
          <w:rFonts w:ascii="仿宋_GB2312" w:hAnsi="仿宋_GB2312" w:cs="仿宋_GB2312" w:eastAsia="仿宋_GB2312"/>
          <w:sz w:val="24"/>
          <w:b/>
        </w:rPr>
        <w:t>3、检验报告的编制、提交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验船师完成检验项目并检验合格后，应在2个工作日内整理现场检验的相关资料，完成《国内海洋渔船营运检验报告》（或《海上船舶检验报告》）及《渔业船舶检验完工报告》的编制并签字确认，并提交其所属成交供应商项目负责人审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负责人应在2个工作日内完成报告的审查工作。对审查不合格的，退回现场验船师做相应闭环处置；对审查合格的，应签署并加盖单位公章后，在24小时内及时将已签署盖章的PDF电子版本《国内海洋渔船营运检验报告》（或《海上船舶检验报告》）及《渔业船舶检验完工报告》发送采购人相应的直属大队进行审核，并确保发送的PDF电子版报告与后续送达的存档纸质版报告的一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3）如因发送的PDF电子版报告与送达的存档纸质版报告不一致而造成后果的，成交供应商应承担相关责任。</w:t>
      </w:r>
    </w:p>
    <w:p>
      <w:pPr>
        <w:pStyle w:val="null3"/>
        <w:ind w:firstLine="482"/>
        <w:jc w:val="both"/>
      </w:pPr>
      <w:r>
        <w:rPr>
          <w:rFonts w:ascii="仿宋_GB2312" w:hAnsi="仿宋_GB2312" w:cs="仿宋_GB2312" w:eastAsia="仿宋_GB2312"/>
          <w:sz w:val="24"/>
          <w:b/>
        </w:rPr>
        <w:t>4、报告的审核与存档</w:t>
      </w:r>
    </w:p>
    <w:p>
      <w:pPr>
        <w:pStyle w:val="null3"/>
        <w:ind w:firstLine="480"/>
        <w:jc w:val="both"/>
      </w:pPr>
      <w:r>
        <w:rPr>
          <w:rFonts w:ascii="仿宋_GB2312" w:hAnsi="仿宋_GB2312" w:cs="仿宋_GB2312" w:eastAsia="仿宋_GB2312"/>
          <w:sz w:val="24"/>
        </w:rPr>
        <w:t>为了顺利开展渔业船舶社会化服务持续推进工作，实现采购人与成交供应商在开展各自具体工作中的无缝对接，提高渔业船舶检验工作效率，提升服务水平与质量，切实保障渔民群众的切实利益，特对持续推进工作做以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1）采购人相应的直属大队应及时指派检验人员完成对成交供应商发送的PDF电子版报告的审核工作；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2）PDF电子版报告存在问题的，及时以书面形式反馈成交供应商，成交供应商应及时做出相应处置；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3）接受报告审核工作的直属大队检验人员，应将审核合格通过的PDF电子版本报告打印后，与后续送达的纸质版报告一并存档。</w:t>
      </w:r>
    </w:p>
    <w:p>
      <w:pPr>
        <w:pStyle w:val="null3"/>
        <w:ind w:firstLine="482"/>
        <w:jc w:val="both"/>
      </w:pPr>
      <w:r>
        <w:rPr>
          <w:rFonts w:ascii="仿宋_GB2312" w:hAnsi="仿宋_GB2312" w:cs="仿宋_GB2312" w:eastAsia="仿宋_GB2312"/>
          <w:sz w:val="24"/>
          <w:b/>
        </w:rPr>
        <w:t>5、证书录入、打印及发放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1）PDF电子版《国内海洋渔船营运检验报告》（或《海上船舶检验报告》）及《渔业船舶检验完工报告》审核通过后，相应直属大队应及时完成证书的录入、打印、签发或签署及发放工作。</w:t>
      </w:r>
    </w:p>
    <w:p>
      <w:pPr>
        <w:pStyle w:val="null3"/>
        <w:ind w:firstLine="482"/>
        <w:jc w:val="both"/>
      </w:pPr>
      <w:r>
        <w:rPr>
          <w:rFonts w:ascii="仿宋_GB2312" w:hAnsi="仿宋_GB2312" w:cs="仿宋_GB2312" w:eastAsia="仿宋_GB2312"/>
          <w:sz w:val="24"/>
          <w:b/>
        </w:rPr>
        <w:t>6、检验资料的交接与归档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1）成交供应商应及时将与发送的PDF电子版一致的纸质《国内海洋渔船营运检验报告》（或《海上船舶检验报告》）和《渔业船舶检验完工报告》或《关于</w:t>
      </w:r>
      <w:r>
        <w:rPr>
          <w:rFonts w:ascii="仿宋_GB2312" w:hAnsi="仿宋_GB2312" w:cs="仿宋_GB2312" w:eastAsia="仿宋_GB2312"/>
          <w:sz w:val="24"/>
          <w:u w:val="single"/>
        </w:rPr>
        <w:t>（船名号）</w:t>
      </w:r>
      <w:r>
        <w:rPr>
          <w:rFonts w:ascii="仿宋_GB2312" w:hAnsi="仿宋_GB2312" w:cs="仿宋_GB2312" w:eastAsia="仿宋_GB2312"/>
          <w:sz w:val="24"/>
        </w:rPr>
        <w:t>本次检验不合格的报告》原件及相关设备的检修检测报告等检验资料报送采购人相应的直属大队，同时采购人相应的直属大队将签发或签署的检验证书复印件反馈至成交供应商；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2）采购人相应的直属大队和成交供应商应按档案管理相关规定，及时做好各自渔业船舶检验档案的归档工作。</w:t>
      </w:r>
    </w:p>
    <w:p>
      <w:pPr>
        <w:pStyle w:val="null3"/>
        <w:ind w:firstLine="480"/>
        <w:jc w:val="both"/>
      </w:pPr>
      <w:r>
        <w:rPr>
          <w:rFonts w:ascii="仿宋_GB2312" w:hAnsi="仿宋_GB2312" w:cs="仿宋_GB2312" w:eastAsia="仿宋_GB2312"/>
          <w:sz w:val="24"/>
          <w:b/>
        </w:rPr>
        <w:t>7、其他要求</w:t>
      </w:r>
    </w:p>
    <w:p>
      <w:pPr>
        <w:pStyle w:val="null3"/>
        <w:ind w:firstLine="480"/>
        <w:jc w:val="left"/>
      </w:pPr>
      <w:r>
        <w:rPr>
          <w:rFonts w:ascii="仿宋_GB2312" w:hAnsi="仿宋_GB2312" w:cs="仿宋_GB2312" w:eastAsia="仿宋_GB2312"/>
          <w:sz w:val="24"/>
        </w:rPr>
        <w:t>采购文件未规定</w:t>
      </w:r>
      <w:r>
        <w:rPr>
          <w:rFonts w:ascii="仿宋_GB2312" w:hAnsi="仿宋_GB2312" w:cs="仿宋_GB2312" w:eastAsia="仿宋_GB2312"/>
          <w:sz w:val="24"/>
        </w:rPr>
        <w:t>的部分，</w:t>
      </w:r>
      <w:r>
        <w:rPr>
          <w:rFonts w:ascii="仿宋_GB2312" w:hAnsi="仿宋_GB2312" w:cs="仿宋_GB2312" w:eastAsia="仿宋_GB2312"/>
          <w:sz w:val="24"/>
        </w:rPr>
        <w:t>按照</w:t>
      </w:r>
      <w:r>
        <w:rPr>
          <w:rFonts w:ascii="仿宋_GB2312" w:hAnsi="仿宋_GB2312" w:cs="仿宋_GB2312" w:eastAsia="仿宋_GB2312"/>
          <w:sz w:val="24"/>
        </w:rPr>
        <w:t>《</w:t>
      </w:r>
      <w:r>
        <w:rPr>
          <w:rFonts w:ascii="仿宋_GB2312" w:hAnsi="仿宋_GB2312" w:cs="仿宋_GB2312" w:eastAsia="仿宋_GB2312"/>
          <w:sz w:val="24"/>
        </w:rPr>
        <w:t>附件</w:t>
      </w:r>
      <w:r>
        <w:rPr>
          <w:rFonts w:ascii="仿宋_GB2312" w:hAnsi="仿宋_GB2312" w:cs="仿宋_GB2312" w:eastAsia="仿宋_GB2312"/>
          <w:sz w:val="24"/>
        </w:rPr>
        <w:t>1福州市渔业船舶检验社会化服务持续推进工作方案</w:t>
      </w:r>
      <w:r>
        <w:rPr>
          <w:rFonts w:ascii="仿宋_GB2312" w:hAnsi="仿宋_GB2312" w:cs="仿宋_GB2312" w:eastAsia="仿宋_GB2312"/>
          <w:sz w:val="24"/>
        </w:rPr>
        <w:t>》</w:t>
      </w:r>
      <w:r>
        <w:rPr>
          <w:rFonts w:ascii="仿宋_GB2312" w:hAnsi="仿宋_GB2312" w:cs="仿宋_GB2312" w:eastAsia="仿宋_GB2312"/>
          <w:sz w:val="24"/>
        </w:rPr>
        <w:t>、《附件</w:t>
      </w:r>
      <w:r>
        <w:rPr>
          <w:rFonts w:ascii="仿宋_GB2312" w:hAnsi="仿宋_GB2312" w:cs="仿宋_GB2312" w:eastAsia="仿宋_GB2312"/>
          <w:sz w:val="24"/>
        </w:rPr>
        <w:t>2：渔业船舶检验社会化服务持续推进工作监督管理办法（暂行）》相关附件执行。</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服务期：预算金额使用完毕且全部被检验渔业船舶检验服务质量验收合格满1年。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福建省福州市采购人指定地点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以采购人验收合格为准</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采购人自行组织项目验收。对服务期内的服务实施情况分期逐一进行考核，结合考核情况和服务效果进行验收。验收时，按照采购合同的约定对每一项技术、服务、安全标准的履约情况进行确认。验收结束后，出具验收书，列明各项标准的验收情况及项目总体评价，由验收双方共同签署。</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本项目服务结束后，采购人按照建立的监管机制对成交供应商履约情况进行验收。验收合格的，根据成交单价按实际检验合格的艘次支付检验费用；验收不合格的，按照成交单价扣除不合格渔船的现场检验费用且履约保证金不予退还，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供应商应在合同签订时，以支票、汇票、本票、保函等非现金形式向采购人缴交合同金额的5.0%（若成交供应商为中小微企业，则向采购人缴交合同金额的3.0%）作为履约保证金。待提供的全部渔业船舶检验服务完成后，服务期结束后，服务期内未发生违约且所有被检测渔业船舶的现场检验均验收合格的情况下，在7个工作日内无息退还履约保证金。</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、知识产权</w:t>
      </w:r>
    </w:p>
    <w:p>
      <w:pPr>
        <w:pStyle w:val="null3"/>
        <w:spacing w:before="105" w:after="105"/>
        <w:ind w:firstLine="480"/>
        <w:jc w:val="both"/>
      </w:pPr>
      <w:r>
        <w:rPr>
          <w:rFonts w:ascii="仿宋_GB2312" w:hAnsi="仿宋_GB2312" w:cs="仿宋_GB2312" w:eastAsia="仿宋_GB2312"/>
          <w:sz w:val="24"/>
        </w:rPr>
        <w:t>成交供应商必须保证所提供的产品具有独立的知识产权，保证采购单位在使用成交供应商所提供的产品时不受任何专利或版权等方面的侵权困扰，如出现类似纠纷，成交供应商应对由此产生的后果负全部责任，并赔偿采购单位由此而造成的全部损失。</w:t>
      </w:r>
    </w:p>
    <w:p>
      <w:pPr>
        <w:pStyle w:val="null3"/>
        <w:spacing w:before="105" w:after="105"/>
        <w:jc w:val="both"/>
      </w:pPr>
      <w:r>
        <w:rPr>
          <w:rFonts w:ascii="仿宋_GB2312" w:hAnsi="仿宋_GB2312" w:cs="仿宋_GB2312" w:eastAsia="仿宋_GB2312"/>
          <w:sz w:val="24"/>
        </w:rPr>
        <w:t>2</w:t>
      </w:r>
      <w:r>
        <w:rPr>
          <w:rFonts w:ascii="仿宋_GB2312" w:hAnsi="仿宋_GB2312" w:cs="仿宋_GB2312" w:eastAsia="仿宋_GB2312"/>
          <w:sz w:val="24"/>
        </w:rPr>
        <w:t>、违约责任</w:t>
      </w:r>
    </w:p>
    <w:p>
      <w:pPr>
        <w:pStyle w:val="null3"/>
        <w:spacing w:before="105" w:after="105"/>
        <w:ind w:firstLine="424"/>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因成交供应商原因造成采购合同无法按时签订，视为成交供应商违约，成交供应商需支付相应的赔偿。</w:t>
      </w:r>
    </w:p>
    <w:p>
      <w:pPr>
        <w:pStyle w:val="null3"/>
        <w:spacing w:before="105" w:after="105"/>
        <w:ind w:firstLine="424"/>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color w:val="404040"/>
          <w:shd w:fill="FFFFFF" w:val="clear"/>
        </w:rPr>
        <w:t>若渔业船舶自检验服务质量验收合格之日起</w:t>
      </w:r>
      <w:r>
        <w:rPr>
          <w:rFonts w:ascii="仿宋_GB2312" w:hAnsi="仿宋_GB2312" w:cs="仿宋_GB2312" w:eastAsia="仿宋_GB2312"/>
          <w:sz w:val="24"/>
          <w:color w:val="404040"/>
          <w:shd w:fill="FFFFFF" w:val="clear"/>
        </w:rPr>
        <w:t>1年内发生事故或出现其他问题，经采购人核查确认系因成交供应商检验服务不到位所致，则视为成交供应商违约</w:t>
      </w:r>
      <w:r>
        <w:rPr>
          <w:rFonts w:ascii="仿宋_GB2312" w:hAnsi="仿宋_GB2312" w:cs="仿宋_GB2312" w:eastAsia="仿宋_GB2312"/>
          <w:sz w:val="24"/>
          <w:color w:val="404040"/>
          <w:shd w:fill="FFFFFF" w:val="clear"/>
        </w:rPr>
        <w:t>，</w:t>
      </w:r>
      <w:r>
        <w:rPr>
          <w:rFonts w:ascii="仿宋_GB2312" w:hAnsi="仿宋_GB2312" w:cs="仿宋_GB2312" w:eastAsia="仿宋_GB2312"/>
          <w:sz w:val="24"/>
          <w:color w:val="404040"/>
          <w:shd w:fill="FFFFFF" w:val="clear"/>
        </w:rPr>
        <w:t>成交供应商须承担相应赔偿责任，且采购人有权没收其履约保证金。</w:t>
      </w:r>
    </w:p>
    <w:p>
      <w:pPr>
        <w:pStyle w:val="null3"/>
        <w:spacing w:before="105" w:after="105"/>
        <w:ind w:firstLine="42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在签</w:t>
      </w:r>
      <w:r>
        <w:rPr>
          <w:rFonts w:ascii="仿宋_GB2312" w:hAnsi="仿宋_GB2312" w:cs="仿宋_GB2312" w:eastAsia="仿宋_GB2312"/>
          <w:sz w:val="24"/>
        </w:rPr>
        <w:t>订</w:t>
      </w:r>
      <w:r>
        <w:rPr>
          <w:rFonts w:ascii="仿宋_GB2312" w:hAnsi="仿宋_GB2312" w:cs="仿宋_GB2312" w:eastAsia="仿宋_GB2312"/>
          <w:sz w:val="24"/>
        </w:rPr>
        <w:t>采购合同之后，成交供应商要求解除合同的，视为成交供应商违约，对采购人造成的损失的，中标人需支付相应的赔偿。</w:t>
      </w:r>
    </w:p>
    <w:p>
      <w:pPr>
        <w:pStyle w:val="null3"/>
        <w:spacing w:before="105" w:after="105"/>
        <w:ind w:firstLine="42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因成交供应商原因发生重大质量事故，除依约承担赔偿责任外，还将按有关规定追究法律责任。同时，采购人有权保留更换成交供应商的权利，并报相关行政主管部门处罚。</w:t>
      </w:r>
    </w:p>
    <w:p>
      <w:pPr>
        <w:pStyle w:val="null3"/>
        <w:spacing w:before="105" w:after="105"/>
        <w:ind w:firstLine="42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给采购人造成的损失，还应承担赔偿责任。</w:t>
      </w:r>
    </w:p>
    <w:p>
      <w:pPr>
        <w:pStyle w:val="null3"/>
        <w:spacing w:before="105" w:after="105"/>
        <w:ind w:firstLine="42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在明确违约责任后，成交人应在接到书面通知书起七天内支付违约金、赔偿金等。</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本磋商文件中所涉及的一切费用均应包含在报价中。</w:t>
      </w:r>
    </w:p>
    <w:p>
      <w:pPr>
        <w:pStyle w:val="null3"/>
      </w:pPr>
      <w:r>
        <w:rPr>
          <w:rFonts w:ascii="仿宋_GB2312" w:hAnsi="仿宋_GB2312" w:cs="仿宋_GB2312" w:eastAsia="仿宋_GB2312"/>
          <w:sz w:val="24"/>
        </w:rPr>
        <w:t xml:space="preserve"> </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[350101]CZX[CS]2025001-1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渔业船舶检验社会化服务项目(二次)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1(渔业船舶检验)</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渔业船舶检验</w:t>
            </w:r>
          </w:p>
        </w:tc>
        <w:tc>
          <w:tcPr>
            <w:tcW w:type="dxa" w:w="166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[350101]CZX[CS]2025001-1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渔业船舶检验社会化服务项目(二次)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渔业船舶检验</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渔业船舶检验2</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服务名称</w:t>
            </w:r>
          </w:p>
        </w:tc>
        <w:tc>
          <w:tcPr>
            <w:tcW w:type="dxa" w:w="692"/>
          </w:tcPr>
          <w:p>
            <w:pPr>
              <w:pStyle w:val="null3"/>
              <w:jc w:val="left"/>
            </w:pPr>
            <w:r>
              <w:rPr>
                <w:rFonts w:ascii="仿宋_GB2312" w:hAnsi="仿宋_GB2312" w:cs="仿宋_GB2312" w:eastAsia="仿宋_GB2312"/>
              </w:rPr>
              <w:t xml:space="preserve"> 服务范围</w:t>
            </w:r>
          </w:p>
        </w:tc>
        <w:tc>
          <w:tcPr>
            <w:tcW w:type="dxa" w:w="692"/>
          </w:tcPr>
          <w:p>
            <w:pPr>
              <w:pStyle w:val="null3"/>
              <w:jc w:val="left"/>
            </w:pPr>
            <w:r>
              <w:rPr>
                <w:rFonts w:ascii="仿宋_GB2312" w:hAnsi="仿宋_GB2312" w:cs="仿宋_GB2312" w:eastAsia="仿宋_GB2312"/>
              </w:rPr>
              <w:t xml:space="preserve"> 服务要求</w:t>
            </w:r>
          </w:p>
        </w:tc>
        <w:tc>
          <w:tcPr>
            <w:tcW w:type="dxa" w:w="692"/>
          </w:tcPr>
          <w:p>
            <w:pPr>
              <w:pStyle w:val="null3"/>
              <w:jc w:val="left"/>
            </w:pPr>
            <w:r>
              <w:rPr>
                <w:rFonts w:ascii="仿宋_GB2312" w:hAnsi="仿宋_GB2312" w:cs="仿宋_GB2312" w:eastAsia="仿宋_GB2312"/>
              </w:rPr>
              <w:t xml:space="preserve"> 服务时间</w:t>
            </w:r>
          </w:p>
        </w:tc>
        <w:tc>
          <w:tcPr>
            <w:tcW w:type="dxa" w:w="692"/>
          </w:tcPr>
          <w:p>
            <w:pPr>
              <w:pStyle w:val="null3"/>
              <w:jc w:val="left"/>
            </w:pPr>
            <w:r>
              <w:rPr>
                <w:rFonts w:ascii="仿宋_GB2312" w:hAnsi="仿宋_GB2312" w:cs="仿宋_GB2312" w:eastAsia="仿宋_GB2312"/>
              </w:rPr>
              <w:t xml:space="preserve"> 服务标准</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r>
              <w:rPr>
                <w:rFonts w:ascii="仿宋_GB2312" w:hAnsi="仿宋_GB2312" w:cs="仿宋_GB2312" w:eastAsia="仿宋_GB2312"/>
              </w:rPr>
              <w:t xml:space="preserve"> 是否为小型、微型企业，监狱企业，残疾人福利性单位</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渔业船舶检验2</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100.0000</w:t>
            </w:r>
          </w:p>
        </w:tc>
        <w:tc>
          <w:tcPr>
            <w:tcW w:type="dxa" w:w="692"/>
          </w:tcPr>
          <w:p>
            <w:pPr>
              <w:pStyle w:val="null3"/>
              <w:jc w:val="left"/>
            </w:pPr>
            <w:r>
              <w:rPr>
                <w:rFonts w:ascii="仿宋_GB2312" w:hAnsi="仿宋_GB2312" w:cs="仿宋_GB2312" w:eastAsia="仿宋_GB2312"/>
              </w:rPr>
              <w:t xml:space="preserve"> 艘次</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